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70" w:rsidRPr="00B95070" w:rsidRDefault="00B95070" w:rsidP="00B95070">
      <w:pPr>
        <w:spacing w:before="100" w:beforeAutospacing="1" w:after="100" w:afterAutospacing="1" w:line="240" w:lineRule="auto"/>
        <w:rPr>
          <w:rFonts w:ascii="Times New Roman" w:eastAsia="Times New Roman" w:hAnsi="Times New Roman" w:cs="Times New Roman"/>
          <w:sz w:val="24"/>
          <w:szCs w:val="24"/>
          <w:lang w:eastAsia="fr-FR"/>
        </w:rPr>
      </w:pPr>
      <w:r w:rsidRPr="00B95070">
        <w:rPr>
          <w:rFonts w:ascii="Times New Roman" w:eastAsia="Times New Roman" w:hAnsi="Times New Roman" w:cs="Times New Roman"/>
          <w:sz w:val="24"/>
          <w:szCs w:val="24"/>
          <w:u w:val="single"/>
          <w:lang w:eastAsia="fr-FR"/>
        </w:rPr>
        <w:t>Références de l'ouvrage</w:t>
      </w:r>
    </w:p>
    <w:p w:rsidR="00B95070" w:rsidRPr="00B95070" w:rsidRDefault="00B95070" w:rsidP="00B9507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95070">
        <w:rPr>
          <w:rFonts w:ascii="Times New Roman" w:eastAsia="Times New Roman" w:hAnsi="Times New Roman" w:cs="Times New Roman"/>
          <w:b/>
          <w:bCs/>
          <w:kern w:val="36"/>
          <w:sz w:val="48"/>
          <w:szCs w:val="48"/>
          <w:lang w:eastAsia="fr-FR"/>
        </w:rPr>
        <w:t>Les Limousins pendant la guerre de 1914-1918</w:t>
      </w:r>
    </w:p>
    <w:p w:rsidR="00B95070" w:rsidRPr="00B95070" w:rsidRDefault="00B95070" w:rsidP="00B95070">
      <w:pPr>
        <w:spacing w:before="100" w:beforeAutospacing="1" w:after="100" w:afterAutospacing="1" w:line="240" w:lineRule="auto"/>
        <w:rPr>
          <w:rFonts w:ascii="Times New Roman" w:eastAsia="Times New Roman" w:hAnsi="Times New Roman" w:cs="Times New Roman"/>
          <w:sz w:val="24"/>
          <w:szCs w:val="24"/>
          <w:lang w:eastAsia="fr-FR"/>
        </w:rPr>
      </w:pPr>
      <w:r w:rsidRPr="00B95070">
        <w:rPr>
          <w:rFonts w:ascii="Times New Roman" w:eastAsia="Times New Roman" w:hAnsi="Times New Roman" w:cs="Times New Roman"/>
          <w:sz w:val="24"/>
          <w:szCs w:val="24"/>
          <w:lang w:eastAsia="fr-FR"/>
        </w:rPr>
        <w:t xml:space="preserve">Par Gabriel de </w:t>
      </w:r>
      <w:proofErr w:type="spellStart"/>
      <w:r w:rsidRPr="00B95070">
        <w:rPr>
          <w:rFonts w:ascii="Times New Roman" w:eastAsia="Times New Roman" w:hAnsi="Times New Roman" w:cs="Times New Roman"/>
          <w:sz w:val="24"/>
          <w:szCs w:val="24"/>
          <w:lang w:eastAsia="fr-FR"/>
        </w:rPr>
        <w:t>Llobet</w:t>
      </w:r>
      <w:proofErr w:type="spellEnd"/>
      <w:r w:rsidRPr="00B95070">
        <w:rPr>
          <w:rFonts w:ascii="Times New Roman" w:eastAsia="Times New Roman" w:hAnsi="Times New Roman" w:cs="Times New Roman"/>
          <w:sz w:val="24"/>
          <w:szCs w:val="24"/>
          <w:lang w:eastAsia="fr-FR"/>
        </w:rPr>
        <w:t>. Professeur chargé du Service Éducatif des Archives Départementales de la Haute-Vienne. 2e édition CRDP 1988.</w:t>
      </w:r>
    </w:p>
    <w:p w:rsidR="00B95070" w:rsidRDefault="00B95070" w:rsidP="00B95070">
      <w:pPr>
        <w:pStyle w:val="NormalWeb"/>
      </w:pPr>
      <w:r>
        <w:t>***************************************************************************************</w:t>
      </w:r>
    </w:p>
    <w:p w:rsidR="00B95070" w:rsidRPr="00DD68D0" w:rsidRDefault="00B95070" w:rsidP="00B95070">
      <w:pPr>
        <w:pStyle w:val="Titre2"/>
        <w:jc w:val="center"/>
        <w:rPr>
          <w:rFonts w:ascii="Times New Roman" w:hAnsi="Times New Roman" w:cs="Times New Roman"/>
          <w:color w:val="auto"/>
          <w:sz w:val="28"/>
          <w:szCs w:val="28"/>
        </w:rPr>
      </w:pPr>
      <w:r w:rsidRPr="00DD68D0">
        <w:rPr>
          <w:rStyle w:val="lev"/>
          <w:rFonts w:ascii="Times New Roman" w:hAnsi="Times New Roman" w:cs="Times New Roman"/>
          <w:b/>
          <w:bCs/>
          <w:color w:val="auto"/>
          <w:sz w:val="28"/>
          <w:szCs w:val="28"/>
          <w:u w:val="single"/>
        </w:rPr>
        <w:t>Thème 2. Les caractéristiques militaires du conflit</w:t>
      </w:r>
    </w:p>
    <w:p w:rsidR="00B95070" w:rsidRDefault="00B95070" w:rsidP="00B95070">
      <w:pPr>
        <w:pStyle w:val="NormalWeb"/>
        <w:jc w:val="center"/>
      </w:pPr>
      <w:r>
        <w:rPr>
          <w:rStyle w:val="lev"/>
        </w:rPr>
        <w:t>Images n°2 et 3. Tranchées et masques à gaz.</w:t>
      </w:r>
    </w:p>
    <w:p w:rsidR="00B95070" w:rsidRDefault="00B95070" w:rsidP="00B95070">
      <w:pPr>
        <w:pStyle w:val="NormalWeb"/>
        <w:jc w:val="center"/>
        <w:rPr>
          <w:noProof/>
          <w:color w:val="0000FF"/>
        </w:rPr>
      </w:pPr>
      <w:bookmarkStart w:id="0" w:name="_GoBack"/>
      <w:r>
        <w:rPr>
          <w:noProof/>
          <w:color w:val="0000FF"/>
        </w:rPr>
        <w:drawing>
          <wp:inline distT="0" distB="0" distL="0" distR="0">
            <wp:extent cx="4860000" cy="7084937"/>
            <wp:effectExtent l="0" t="0" r="0" b="1905"/>
            <wp:docPr id="2" name="Image 2" descr="2_Guerre_de_14_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Guerre_de_14_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0000" cy="7084937"/>
                    </a:xfrm>
                    <a:prstGeom prst="rect">
                      <a:avLst/>
                    </a:prstGeom>
                    <a:noFill/>
                    <a:ln>
                      <a:noFill/>
                    </a:ln>
                  </pic:spPr>
                </pic:pic>
              </a:graphicData>
            </a:graphic>
          </wp:inline>
        </w:drawing>
      </w:r>
      <w:bookmarkEnd w:id="0"/>
    </w:p>
    <w:p w:rsidR="00B95070" w:rsidRDefault="00B95070" w:rsidP="00B95070">
      <w:pPr>
        <w:pStyle w:val="NormalWeb"/>
        <w:jc w:val="center"/>
        <w:rPr>
          <w:noProof/>
          <w:color w:val="0000FF"/>
        </w:rPr>
      </w:pPr>
    </w:p>
    <w:p w:rsidR="00B95070" w:rsidRDefault="00B95070" w:rsidP="00B95070">
      <w:pPr>
        <w:pStyle w:val="NormalWeb"/>
        <w:jc w:val="center"/>
      </w:pPr>
      <w:r>
        <w:rPr>
          <w:noProof/>
          <w:color w:val="0000FF"/>
        </w:rPr>
        <w:drawing>
          <wp:inline distT="0" distB="0" distL="0" distR="0" wp14:anchorId="01B3E453" wp14:editId="6D4AFA8C">
            <wp:extent cx="6634548" cy="4536000"/>
            <wp:effectExtent l="0" t="0" r="0" b="0"/>
            <wp:docPr id="1" name="Image 1" descr="3_Guerre_de_14_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Guerre_de_14_1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548" cy="4536000"/>
                    </a:xfrm>
                    <a:prstGeom prst="rect">
                      <a:avLst/>
                    </a:prstGeom>
                    <a:noFill/>
                    <a:ln>
                      <a:noFill/>
                    </a:ln>
                  </pic:spPr>
                </pic:pic>
              </a:graphicData>
            </a:graphic>
          </wp:inline>
        </w:drawing>
      </w:r>
    </w:p>
    <w:p w:rsidR="00FB300E" w:rsidRPr="00FB300E" w:rsidRDefault="00FB300E" w:rsidP="00DD68D0">
      <w:pPr>
        <w:jc w:val="center"/>
        <w:rPr>
          <w:rFonts w:ascii="Times New Roman" w:hAnsi="Times New Roman" w:cs="Times New Roman"/>
          <w:b/>
          <w:sz w:val="24"/>
          <w:szCs w:val="24"/>
        </w:rPr>
      </w:pPr>
      <w:r w:rsidRPr="00FB300E">
        <w:rPr>
          <w:rStyle w:val="FontStyle49"/>
          <w:sz w:val="24"/>
          <w:szCs w:val="24"/>
        </w:rPr>
        <w:t xml:space="preserve">Photographies 18 </w:t>
      </w:r>
      <w:r w:rsidRPr="00FB300E">
        <w:rPr>
          <w:rStyle w:val="FontStyle47"/>
          <w:sz w:val="24"/>
          <w:szCs w:val="24"/>
        </w:rPr>
        <w:t xml:space="preserve">x </w:t>
      </w:r>
      <w:r w:rsidRPr="00FB300E">
        <w:rPr>
          <w:rStyle w:val="FontStyle49"/>
          <w:sz w:val="24"/>
          <w:szCs w:val="24"/>
        </w:rPr>
        <w:t>13 cm. - ADHV, 1 W 4</w:t>
      </w:r>
      <w:r>
        <w:rPr>
          <w:rStyle w:val="FontStyle49"/>
          <w:sz w:val="24"/>
          <w:szCs w:val="24"/>
        </w:rPr>
        <w:t>-</w:t>
      </w:r>
    </w:p>
    <w:p w:rsidR="00FB300E" w:rsidRDefault="00FB300E" w:rsidP="00DD68D0">
      <w:pPr>
        <w:jc w:val="center"/>
        <w:rPr>
          <w:rFonts w:ascii="Times New Roman" w:hAnsi="Times New Roman" w:cs="Times New Roman"/>
          <w:b/>
          <w:sz w:val="24"/>
          <w:szCs w:val="24"/>
        </w:rPr>
      </w:pPr>
    </w:p>
    <w:p w:rsidR="00DD68D0" w:rsidRPr="002D4463" w:rsidRDefault="00DD68D0" w:rsidP="00DD68D0">
      <w:pPr>
        <w:jc w:val="center"/>
        <w:rPr>
          <w:rFonts w:ascii="Times New Roman" w:hAnsi="Times New Roman" w:cs="Times New Roman"/>
          <w:b/>
          <w:sz w:val="24"/>
          <w:szCs w:val="24"/>
        </w:rPr>
      </w:pPr>
      <w:r w:rsidRPr="002D4463">
        <w:rPr>
          <w:rFonts w:ascii="Times New Roman" w:hAnsi="Times New Roman" w:cs="Times New Roman"/>
          <w:b/>
          <w:sz w:val="24"/>
          <w:szCs w:val="24"/>
        </w:rPr>
        <w:t>Images n°2 et 3. Tranchées et masques à gaz.</w:t>
      </w:r>
    </w:p>
    <w:p w:rsidR="00DD68D0" w:rsidRPr="002D4463" w:rsidRDefault="00DD68D0" w:rsidP="00DD68D0">
      <w:pPr>
        <w:rPr>
          <w:rFonts w:ascii="Times New Roman" w:hAnsi="Times New Roman" w:cs="Times New Roman"/>
          <w:sz w:val="24"/>
          <w:szCs w:val="24"/>
        </w:rPr>
      </w:pPr>
      <w:r w:rsidRPr="002D4463">
        <w:rPr>
          <w:rFonts w:ascii="Times New Roman" w:hAnsi="Times New Roman" w:cs="Times New Roman"/>
          <w:sz w:val="24"/>
          <w:szCs w:val="24"/>
        </w:rPr>
        <w:t xml:space="preserve">Les deux photographies ont été prises sur le front de la Somme, entre le 14 août et le 3 septembre 1916, par un poilu du 78e R.I, régiment que tenait garnison à Limoges et à Guéret. </w:t>
      </w:r>
    </w:p>
    <w:p w:rsidR="00DD68D0" w:rsidRPr="002D4463" w:rsidRDefault="00DD68D0" w:rsidP="00DD68D0">
      <w:pPr>
        <w:rPr>
          <w:rFonts w:ascii="Times New Roman" w:hAnsi="Times New Roman" w:cs="Times New Roman"/>
          <w:sz w:val="24"/>
          <w:szCs w:val="24"/>
        </w:rPr>
      </w:pPr>
      <w:r w:rsidRPr="002D4463">
        <w:rPr>
          <w:rFonts w:ascii="Times New Roman" w:hAnsi="Times New Roman" w:cs="Times New Roman"/>
          <w:sz w:val="24"/>
          <w:szCs w:val="24"/>
        </w:rPr>
        <w:t xml:space="preserve">La première photographie montre un soldat dans une </w:t>
      </w:r>
      <w:r w:rsidRPr="002D4463">
        <w:rPr>
          <w:rFonts w:ascii="Times New Roman" w:hAnsi="Times New Roman" w:cs="Times New Roman"/>
          <w:b/>
          <w:sz w:val="24"/>
          <w:szCs w:val="24"/>
        </w:rPr>
        <w:t>tranchée</w:t>
      </w:r>
      <w:r w:rsidRPr="002D4463">
        <w:rPr>
          <w:rFonts w:ascii="Times New Roman" w:hAnsi="Times New Roman" w:cs="Times New Roman"/>
          <w:sz w:val="24"/>
          <w:szCs w:val="24"/>
        </w:rPr>
        <w:t xml:space="preserve"> en position d’attente. Il fume la pipe et semble lire un journal. Il porte le casque Adrian introduit en septembre 1915, ainsi que la tenue bleu horizon. À proximité on distingue le "</w:t>
      </w:r>
      <w:r w:rsidRPr="002D4463">
        <w:rPr>
          <w:rFonts w:ascii="Times New Roman" w:hAnsi="Times New Roman" w:cs="Times New Roman"/>
          <w:b/>
          <w:sz w:val="24"/>
          <w:szCs w:val="24"/>
        </w:rPr>
        <w:t>barda</w:t>
      </w:r>
      <w:r w:rsidRPr="002D4463">
        <w:rPr>
          <w:rFonts w:ascii="Times New Roman" w:hAnsi="Times New Roman" w:cs="Times New Roman"/>
          <w:sz w:val="24"/>
          <w:szCs w:val="24"/>
        </w:rPr>
        <w:t xml:space="preserve">" du </w:t>
      </w:r>
      <w:r w:rsidRPr="002D4463">
        <w:rPr>
          <w:rFonts w:ascii="Times New Roman" w:hAnsi="Times New Roman" w:cs="Times New Roman"/>
          <w:b/>
          <w:sz w:val="24"/>
          <w:szCs w:val="24"/>
        </w:rPr>
        <w:t>poilu</w:t>
      </w:r>
      <w:r w:rsidRPr="002D4463">
        <w:rPr>
          <w:rFonts w:ascii="Times New Roman" w:hAnsi="Times New Roman" w:cs="Times New Roman"/>
          <w:sz w:val="24"/>
          <w:szCs w:val="24"/>
        </w:rPr>
        <w:t xml:space="preserve"> : un sac d'environ 20 kg auquel s'ajoutent l'armement, la cartouchière et les musettes. La tranchée constitue un abri bien sommaire, elle ne comporte ni bois ni ciment, mais seulement quelques sacs de sable.</w:t>
      </w:r>
    </w:p>
    <w:p w:rsidR="00DD68D0" w:rsidRPr="00DD68D0" w:rsidRDefault="00DD68D0" w:rsidP="00DD68D0">
      <w:pPr>
        <w:rPr>
          <w:rFonts w:ascii="Times New Roman" w:hAnsi="Times New Roman" w:cs="Times New Roman"/>
          <w:sz w:val="24"/>
          <w:szCs w:val="24"/>
        </w:rPr>
      </w:pPr>
      <w:r w:rsidRPr="002D4463">
        <w:rPr>
          <w:rFonts w:ascii="Times New Roman" w:hAnsi="Times New Roman" w:cs="Times New Roman"/>
          <w:sz w:val="24"/>
          <w:szCs w:val="24"/>
        </w:rPr>
        <w:t xml:space="preserve">La seconde photographie montre un groupe de militaires lors d’un exercice d’installation de </w:t>
      </w:r>
      <w:r w:rsidRPr="002D4463">
        <w:rPr>
          <w:rFonts w:ascii="Times New Roman" w:hAnsi="Times New Roman" w:cs="Times New Roman"/>
          <w:b/>
          <w:sz w:val="24"/>
          <w:szCs w:val="24"/>
        </w:rPr>
        <w:t>masques à gaz</w:t>
      </w:r>
      <w:r w:rsidRPr="002D4463">
        <w:rPr>
          <w:rFonts w:ascii="Times New Roman" w:hAnsi="Times New Roman" w:cs="Times New Roman"/>
          <w:sz w:val="24"/>
          <w:szCs w:val="24"/>
        </w:rPr>
        <w:t xml:space="preserve">. Cet équipement fait son apparition suite à la première attaque allemande par des </w:t>
      </w:r>
      <w:r w:rsidRPr="002D4463">
        <w:rPr>
          <w:rFonts w:ascii="Times New Roman" w:hAnsi="Times New Roman" w:cs="Times New Roman"/>
          <w:b/>
          <w:sz w:val="24"/>
          <w:szCs w:val="24"/>
        </w:rPr>
        <w:t>armes chimiques</w:t>
      </w:r>
      <w:r w:rsidRPr="002D4463">
        <w:rPr>
          <w:rFonts w:ascii="Times New Roman" w:hAnsi="Times New Roman" w:cs="Times New Roman"/>
          <w:sz w:val="24"/>
          <w:szCs w:val="24"/>
        </w:rPr>
        <w:t xml:space="preserve"> en avril 1915. Les premiers masques à gaz sont d’une efficacité limitée car ils ne comportent pas encore de cartouche filtrante amovible.</w:t>
      </w:r>
    </w:p>
    <w:p w:rsidR="00B95070" w:rsidRDefault="00DD68D0" w:rsidP="00B95070">
      <w:pPr>
        <w:pStyle w:val="NormalWeb"/>
      </w:pPr>
      <w:r>
        <w:t xml:space="preserve">□ Notions : barda, poilu, </w:t>
      </w:r>
      <w:r w:rsidR="00B95070">
        <w:t>guerre de tranchées, armes chimiques.</w:t>
      </w:r>
    </w:p>
    <w:p w:rsidR="00DD68D0" w:rsidRDefault="00DD68D0" w:rsidP="00DD68D0">
      <w:pPr>
        <w:spacing w:before="100" w:beforeAutospacing="1" w:after="100" w:afterAutospacing="1" w:line="240" w:lineRule="auto"/>
        <w:jc w:val="center"/>
        <w:rPr>
          <w:rFonts w:ascii="Times New Roman" w:hAnsi="Times New Roman" w:cs="Times New Roman"/>
          <w:sz w:val="24"/>
          <w:szCs w:val="24"/>
        </w:rPr>
      </w:pPr>
    </w:p>
    <w:p w:rsidR="00DD68D0" w:rsidRDefault="00DD68D0">
      <w:pPr>
        <w:rPr>
          <w:rFonts w:ascii="Times New Roman" w:hAnsi="Times New Roman" w:cs="Times New Roman"/>
          <w:sz w:val="24"/>
          <w:szCs w:val="24"/>
        </w:rPr>
      </w:pPr>
      <w:r>
        <w:rPr>
          <w:rFonts w:ascii="Times New Roman" w:hAnsi="Times New Roman" w:cs="Times New Roman"/>
          <w:sz w:val="24"/>
          <w:szCs w:val="24"/>
        </w:rPr>
        <w:br w:type="page"/>
      </w:r>
    </w:p>
    <w:p w:rsidR="00DD68D0" w:rsidRPr="00DD68D0" w:rsidRDefault="00DD68D0" w:rsidP="00DD68D0">
      <w:pPr>
        <w:pStyle w:val="Titre2"/>
        <w:jc w:val="center"/>
        <w:rPr>
          <w:rFonts w:ascii="Times New Roman" w:hAnsi="Times New Roman" w:cs="Times New Roman"/>
          <w:color w:val="auto"/>
          <w:sz w:val="28"/>
          <w:szCs w:val="28"/>
        </w:rPr>
      </w:pPr>
      <w:r w:rsidRPr="00DD68D0">
        <w:rPr>
          <w:rStyle w:val="lev"/>
          <w:rFonts w:ascii="Times New Roman" w:hAnsi="Times New Roman" w:cs="Times New Roman"/>
          <w:b/>
          <w:bCs/>
          <w:color w:val="auto"/>
          <w:sz w:val="28"/>
          <w:szCs w:val="28"/>
          <w:u w:val="single"/>
        </w:rPr>
        <w:lastRenderedPageBreak/>
        <w:t>Thème 2. Les caractéristiques militaires du conflit</w:t>
      </w:r>
    </w:p>
    <w:p w:rsidR="00DD68D0" w:rsidRDefault="00DD68D0" w:rsidP="00DD68D0">
      <w:pPr>
        <w:pStyle w:val="NormalWeb"/>
        <w:jc w:val="center"/>
      </w:pPr>
      <w:r>
        <w:rPr>
          <w:rStyle w:val="lev"/>
        </w:rPr>
        <w:t>Images n°2 et 3. Tranchées et masques à gaz.</w:t>
      </w:r>
    </w:p>
    <w:p w:rsidR="00DD68D0" w:rsidRPr="00DD68D0" w:rsidRDefault="00DD68D0" w:rsidP="00DD68D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3675C">
        <w:rPr>
          <w:rFonts w:ascii="Times New Roman" w:hAnsi="Times New Roman" w:cs="Times New Roman"/>
          <w:sz w:val="24"/>
          <w:szCs w:val="24"/>
        </w:rPr>
        <w:t>● Références bibliographiques et sitographiques</w:t>
      </w:r>
    </w:p>
    <w:p w:rsidR="00B95070" w:rsidRDefault="00B95070" w:rsidP="00B95070">
      <w:pPr>
        <w:pStyle w:val="NormalWeb"/>
      </w:pPr>
      <w:r>
        <w:t>● Revue : La vie dans les tranchées, Textes et Documents pour la classe, TDC n°1024, 15 novembre 2011</w:t>
      </w:r>
      <w:proofErr w:type="gramStart"/>
      <w:r>
        <w:t>.</w:t>
      </w:r>
      <w:proofErr w:type="gramEnd"/>
      <w:r>
        <w:br/>
        <w:t>« Les historiens de la Grande Guerre insistent aujourd’hui, à travers les témoignages des soldats eux-mêmes, sur l’« expérience combattante », qui permet de mieux comprendre comment a été possible le sacrifice de toute une génération. »</w:t>
      </w:r>
    </w:p>
    <w:p w:rsidR="00B95070" w:rsidRDefault="00064F71" w:rsidP="00B95070">
      <w:pPr>
        <w:pStyle w:val="NormalWeb"/>
      </w:pPr>
      <w:hyperlink r:id="rId9" w:history="1">
        <w:r w:rsidR="00B95070">
          <w:rPr>
            <w:rStyle w:val="Lienhypertexte"/>
            <w:rFonts w:eastAsiaTheme="majorEastAsia"/>
          </w:rPr>
          <w:t>http://www.cndp.fr/tdc/tous-les-numeros/la-vie-dans-les-tranchees.html</w:t>
        </w:r>
      </w:hyperlink>
    </w:p>
    <w:p w:rsidR="00B95070" w:rsidRDefault="00B95070" w:rsidP="00B95070">
      <w:pPr>
        <w:pStyle w:val="NormalWeb"/>
      </w:pPr>
      <w:r>
        <w:t>● Livre : Limousin 14-18, un abécédaire de la Grande Guerre en Corrèze, Creuse et Haute-Vienne, par Stéphane Capot et Jean-Michel Valade. Les Ardents éditeurs, 2008.</w:t>
      </w:r>
      <w:r>
        <w:br/>
        <w:t xml:space="preserve">Article « Régiments » pages 133-137. Les cinq régiments limousins : le 63e de Limoges, le 100e de Tulle, le 126e de Brive, le 78e de Limoges et Guéret, le 138e de </w:t>
      </w:r>
      <w:proofErr w:type="spellStart"/>
      <w:r>
        <w:t>Magnac</w:t>
      </w:r>
      <w:proofErr w:type="spellEnd"/>
      <w:r>
        <w:t>-Laval et Bellac.</w:t>
      </w:r>
    </w:p>
    <w:p w:rsidR="00B95070" w:rsidRDefault="00B95070" w:rsidP="00B95070">
      <w:pPr>
        <w:pStyle w:val="NormalWeb"/>
      </w:pPr>
      <w:r>
        <w:t>● Site « Mémoire des hommes »</w:t>
      </w:r>
      <w:r>
        <w:br/>
        <w:t>Site du Ministère de le Défense qui comporte : une base de données des 1,3 million de Morts pour la France de la Première Guerre mondiale ; les historiques régimentaires et les journaux des marches et opérations (JMO) des unités engagées (on peut ainsi trouver des informations sur les régiments limousins).</w:t>
      </w:r>
    </w:p>
    <w:p w:rsidR="00B95070" w:rsidRDefault="00064F71" w:rsidP="00B95070">
      <w:pPr>
        <w:pStyle w:val="NormalWeb"/>
      </w:pPr>
      <w:hyperlink r:id="rId10" w:history="1">
        <w:r w:rsidR="00B95070">
          <w:rPr>
            <w:rStyle w:val="Lienhypertexte"/>
            <w:rFonts w:eastAsiaTheme="majorEastAsia"/>
          </w:rPr>
          <w:t>http://www.memoiredeshommes.sga.defense.gouv.fr</w:t>
        </w:r>
      </w:hyperlink>
    </w:p>
    <w:p w:rsidR="00B95070" w:rsidRDefault="00B95070" w:rsidP="00B95070">
      <w:pPr>
        <w:pStyle w:val="NormalWeb"/>
      </w:pPr>
      <w:r>
        <w:t>● Livre : Historique du 63</w:t>
      </w:r>
      <w:r w:rsidR="00513EDD">
        <w:t>e</w:t>
      </w:r>
      <w:r>
        <w:t xml:space="preserve"> régiment d'infanterie. France 1914-1918. Édition Henri Charles-</w:t>
      </w:r>
      <w:proofErr w:type="spellStart"/>
      <w:r>
        <w:t>Lavauzelle</w:t>
      </w:r>
      <w:proofErr w:type="spellEnd"/>
      <w:r>
        <w:t>, 1920, monographie de 52 pages.</w:t>
      </w:r>
      <w:r>
        <w:br/>
        <w:t>http://flora.u-paris10.fr:8082/flora/jsp/index_view_direct.jsp?record=default:NOTICES:39415</w:t>
      </w:r>
    </w:p>
    <w:p w:rsidR="00B95070" w:rsidRDefault="00B95070" w:rsidP="00B95070">
      <w:pPr>
        <w:pStyle w:val="NormalWeb"/>
      </w:pPr>
      <w:r>
        <w:t>● Site du 63e Régiment d'Infanterie de ligne de Limoges, guerre 1914-1918.</w:t>
      </w:r>
      <w:r>
        <w:br/>
        <w:t xml:space="preserve">Site personnel de Christian </w:t>
      </w:r>
      <w:proofErr w:type="spellStart"/>
      <w:r>
        <w:t>Faurillon</w:t>
      </w:r>
      <w:proofErr w:type="spellEnd"/>
      <w:r>
        <w:t xml:space="preserve"> créé en 2005. Pour découvrir l'histoire d'une guerre, d'une caserne, d'une région, d'un village, d'un poilu...</w:t>
      </w:r>
    </w:p>
    <w:p w:rsidR="00B95070" w:rsidRDefault="00064F71" w:rsidP="00B95070">
      <w:pPr>
        <w:pStyle w:val="NormalWeb"/>
      </w:pPr>
      <w:hyperlink r:id="rId11" w:history="1">
        <w:r w:rsidR="00B95070">
          <w:rPr>
            <w:rStyle w:val="Lienhypertexte"/>
            <w:rFonts w:eastAsiaTheme="majorEastAsia"/>
          </w:rPr>
          <w:t>http://www.faurillon.com/</w:t>
        </w:r>
      </w:hyperlink>
    </w:p>
    <w:p w:rsidR="00B95070" w:rsidRDefault="00B95070" w:rsidP="00B95070">
      <w:pPr>
        <w:pStyle w:val="NormalWeb"/>
        <w:jc w:val="center"/>
      </w:pPr>
      <w:r>
        <w:t>***************************************************************************************</w:t>
      </w:r>
    </w:p>
    <w:p w:rsidR="00154C90" w:rsidRDefault="00154C90"/>
    <w:sectPr w:rsidR="00154C90" w:rsidSect="00B95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70"/>
    <w:rsid w:val="00154C90"/>
    <w:rsid w:val="00513EDD"/>
    <w:rsid w:val="009C2E49"/>
    <w:rsid w:val="00B95070"/>
    <w:rsid w:val="00DD68D0"/>
    <w:rsid w:val="00FB3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95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950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07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B950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5070"/>
    <w:rPr>
      <w:b/>
      <w:bCs/>
    </w:rPr>
  </w:style>
  <w:style w:type="character" w:customStyle="1" w:styleId="Titre2Car">
    <w:name w:val="Titre 2 Car"/>
    <w:basedOn w:val="Policepardfaut"/>
    <w:link w:val="Titre2"/>
    <w:uiPriority w:val="9"/>
    <w:semiHidden/>
    <w:rsid w:val="00B95070"/>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B95070"/>
    <w:rPr>
      <w:color w:val="0000FF"/>
      <w:u w:val="single"/>
    </w:rPr>
  </w:style>
  <w:style w:type="paragraph" w:styleId="Textedebulles">
    <w:name w:val="Balloon Text"/>
    <w:basedOn w:val="Normal"/>
    <w:link w:val="TextedebullesCar"/>
    <w:uiPriority w:val="99"/>
    <w:semiHidden/>
    <w:unhideWhenUsed/>
    <w:rsid w:val="00B950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070"/>
    <w:rPr>
      <w:rFonts w:ascii="Tahoma" w:hAnsi="Tahoma" w:cs="Tahoma"/>
      <w:sz w:val="16"/>
      <w:szCs w:val="16"/>
    </w:rPr>
  </w:style>
  <w:style w:type="character" w:customStyle="1" w:styleId="FontStyle47">
    <w:name w:val="Font Style47"/>
    <w:basedOn w:val="Policepardfaut"/>
    <w:rsid w:val="00FB300E"/>
    <w:rPr>
      <w:rFonts w:ascii="Times New Roman" w:hAnsi="Times New Roman" w:cs="Times New Roman"/>
      <w:sz w:val="20"/>
      <w:szCs w:val="20"/>
    </w:rPr>
  </w:style>
  <w:style w:type="character" w:customStyle="1" w:styleId="FontStyle49">
    <w:name w:val="Font Style49"/>
    <w:basedOn w:val="Policepardfaut"/>
    <w:rsid w:val="00FB300E"/>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95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950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07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B950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5070"/>
    <w:rPr>
      <w:b/>
      <w:bCs/>
    </w:rPr>
  </w:style>
  <w:style w:type="character" w:customStyle="1" w:styleId="Titre2Car">
    <w:name w:val="Titre 2 Car"/>
    <w:basedOn w:val="Policepardfaut"/>
    <w:link w:val="Titre2"/>
    <w:uiPriority w:val="9"/>
    <w:semiHidden/>
    <w:rsid w:val="00B95070"/>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B95070"/>
    <w:rPr>
      <w:color w:val="0000FF"/>
      <w:u w:val="single"/>
    </w:rPr>
  </w:style>
  <w:style w:type="paragraph" w:styleId="Textedebulles">
    <w:name w:val="Balloon Text"/>
    <w:basedOn w:val="Normal"/>
    <w:link w:val="TextedebullesCar"/>
    <w:uiPriority w:val="99"/>
    <w:semiHidden/>
    <w:unhideWhenUsed/>
    <w:rsid w:val="00B950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070"/>
    <w:rPr>
      <w:rFonts w:ascii="Tahoma" w:hAnsi="Tahoma" w:cs="Tahoma"/>
      <w:sz w:val="16"/>
      <w:szCs w:val="16"/>
    </w:rPr>
  </w:style>
  <w:style w:type="character" w:customStyle="1" w:styleId="FontStyle47">
    <w:name w:val="Font Style47"/>
    <w:basedOn w:val="Policepardfaut"/>
    <w:rsid w:val="00FB300E"/>
    <w:rPr>
      <w:rFonts w:ascii="Times New Roman" w:hAnsi="Times New Roman" w:cs="Times New Roman"/>
      <w:sz w:val="20"/>
      <w:szCs w:val="20"/>
    </w:rPr>
  </w:style>
  <w:style w:type="character" w:customStyle="1" w:styleId="FontStyle49">
    <w:name w:val="Font Style49"/>
    <w:basedOn w:val="Policepardfaut"/>
    <w:rsid w:val="00FB300E"/>
    <w:rPr>
      <w:rFonts w:ascii="Times New Roman" w:hAnsi="Times New Roman" w:cs="Times New Roma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3036">
      <w:bodyDiv w:val="1"/>
      <w:marLeft w:val="0"/>
      <w:marRight w:val="0"/>
      <w:marTop w:val="0"/>
      <w:marBottom w:val="0"/>
      <w:divBdr>
        <w:top w:val="none" w:sz="0" w:space="0" w:color="auto"/>
        <w:left w:val="none" w:sz="0" w:space="0" w:color="auto"/>
        <w:bottom w:val="none" w:sz="0" w:space="0" w:color="auto"/>
        <w:right w:val="none" w:sz="0" w:space="0" w:color="auto"/>
      </w:divBdr>
    </w:div>
    <w:div w:id="7735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dpdev.cndp.lan/crdp-limoges/14-18/wp-content/uploads/2014/05/3_Guerre_de_14_18.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urillon.com/" TargetMode="External"/><Relationship Id="rId5" Type="http://schemas.openxmlformats.org/officeDocument/2006/relationships/hyperlink" Target="http://crdpdev.cndp.lan/crdp-limoges/14-18/wp-content/uploads/2014/05/2_Guerre_de_14_18.jpg" TargetMode="External"/><Relationship Id="rId10" Type="http://schemas.openxmlformats.org/officeDocument/2006/relationships/hyperlink" Target="http://www.memoiredeshommes.sga.defense.gouv.fr" TargetMode="External"/><Relationship Id="rId4" Type="http://schemas.openxmlformats.org/officeDocument/2006/relationships/webSettings" Target="webSettings.xml"/><Relationship Id="rId9" Type="http://schemas.openxmlformats.org/officeDocument/2006/relationships/hyperlink" Target="http://http:/www.cndp.fr/tdc/tous-les-numeros/la-vie-dans-les-tranche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CRDP du Limousin</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Fessemaz</dc:creator>
  <cp:lastModifiedBy>Luc Fessemaz</cp:lastModifiedBy>
  <cp:revision>7</cp:revision>
  <dcterms:created xsi:type="dcterms:W3CDTF">2014-10-27T09:33:00Z</dcterms:created>
  <dcterms:modified xsi:type="dcterms:W3CDTF">2015-02-10T14:55:00Z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