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A3" w:rsidRPr="00B365A3" w:rsidRDefault="00B365A3" w:rsidP="00B365A3">
      <w:pPr>
        <w:spacing w:before="100" w:beforeAutospacing="1" w:after="100" w:afterAutospacing="1" w:line="240" w:lineRule="auto"/>
        <w:rPr>
          <w:rFonts w:ascii="Times New Roman" w:eastAsia="Times New Roman" w:hAnsi="Times New Roman" w:cs="Times New Roman"/>
          <w:sz w:val="24"/>
          <w:szCs w:val="24"/>
          <w:lang w:eastAsia="fr-FR"/>
        </w:rPr>
      </w:pPr>
      <w:r w:rsidRPr="00B365A3">
        <w:rPr>
          <w:rFonts w:ascii="Times New Roman" w:eastAsia="Times New Roman" w:hAnsi="Times New Roman" w:cs="Times New Roman"/>
          <w:sz w:val="24"/>
          <w:szCs w:val="24"/>
          <w:u w:val="single"/>
          <w:lang w:eastAsia="fr-FR"/>
        </w:rPr>
        <w:t>Références de l'ouvrage</w:t>
      </w:r>
    </w:p>
    <w:p w:rsidR="00B365A3" w:rsidRPr="00B365A3" w:rsidRDefault="00B365A3" w:rsidP="00B365A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365A3">
        <w:rPr>
          <w:rFonts w:ascii="Times New Roman" w:eastAsia="Times New Roman" w:hAnsi="Times New Roman" w:cs="Times New Roman"/>
          <w:b/>
          <w:bCs/>
          <w:kern w:val="36"/>
          <w:sz w:val="48"/>
          <w:szCs w:val="48"/>
          <w:lang w:eastAsia="fr-FR"/>
        </w:rPr>
        <w:t>Les Limousins pendant la guerre de 1914-1918</w:t>
      </w:r>
    </w:p>
    <w:p w:rsidR="00B365A3" w:rsidRDefault="00B365A3" w:rsidP="00B365A3">
      <w:pPr>
        <w:spacing w:before="100" w:beforeAutospacing="1" w:after="100" w:afterAutospacing="1" w:line="240" w:lineRule="auto"/>
        <w:rPr>
          <w:rFonts w:ascii="Times New Roman" w:eastAsia="Times New Roman" w:hAnsi="Times New Roman" w:cs="Times New Roman"/>
          <w:sz w:val="24"/>
          <w:szCs w:val="24"/>
          <w:lang w:eastAsia="fr-FR"/>
        </w:rPr>
      </w:pPr>
      <w:r w:rsidRPr="00B365A3">
        <w:rPr>
          <w:rFonts w:ascii="Times New Roman" w:eastAsia="Times New Roman" w:hAnsi="Times New Roman" w:cs="Times New Roman"/>
          <w:sz w:val="24"/>
          <w:szCs w:val="24"/>
          <w:lang w:eastAsia="fr-FR"/>
        </w:rPr>
        <w:t xml:space="preserve">Par Gabriel de </w:t>
      </w:r>
      <w:proofErr w:type="spellStart"/>
      <w:r w:rsidRPr="00B365A3">
        <w:rPr>
          <w:rFonts w:ascii="Times New Roman" w:eastAsia="Times New Roman" w:hAnsi="Times New Roman" w:cs="Times New Roman"/>
          <w:sz w:val="24"/>
          <w:szCs w:val="24"/>
          <w:lang w:eastAsia="fr-FR"/>
        </w:rPr>
        <w:t>Llobet</w:t>
      </w:r>
      <w:proofErr w:type="spellEnd"/>
      <w:r w:rsidRPr="00B365A3">
        <w:rPr>
          <w:rFonts w:ascii="Times New Roman" w:eastAsia="Times New Roman" w:hAnsi="Times New Roman" w:cs="Times New Roman"/>
          <w:sz w:val="24"/>
          <w:szCs w:val="24"/>
          <w:lang w:eastAsia="fr-FR"/>
        </w:rPr>
        <w:t>. Professeur chargé du Service Éducatif des Archives Départementales de la Haute-Vienne. 2e édition CRDP 1988.</w:t>
      </w:r>
    </w:p>
    <w:p w:rsidR="00CB60CB" w:rsidRPr="00B365A3" w:rsidRDefault="00CB60CB" w:rsidP="00B365A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CB60CB" w:rsidRDefault="00CB60CB" w:rsidP="00CB60CB">
      <w:pPr>
        <w:pStyle w:val="Titre2"/>
        <w:jc w:val="center"/>
        <w:rPr>
          <w:rStyle w:val="lev"/>
          <w:b/>
          <w:bCs/>
          <w:color w:val="000000" w:themeColor="text1"/>
          <w:sz w:val="40"/>
          <w:szCs w:val="40"/>
          <w:u w:val="single"/>
        </w:rPr>
      </w:pPr>
    </w:p>
    <w:p w:rsidR="00CB60CB" w:rsidRDefault="00CB60CB" w:rsidP="00CB60CB">
      <w:pPr>
        <w:pStyle w:val="Titre2"/>
        <w:jc w:val="center"/>
        <w:rPr>
          <w:rStyle w:val="lev"/>
          <w:b/>
          <w:bCs/>
          <w:color w:val="000000" w:themeColor="text1"/>
          <w:sz w:val="40"/>
          <w:szCs w:val="40"/>
          <w:u w:val="single"/>
        </w:rPr>
      </w:pPr>
    </w:p>
    <w:p w:rsidR="00CB60CB" w:rsidRDefault="00CB60CB" w:rsidP="00CB60CB">
      <w:pPr>
        <w:pStyle w:val="Titre2"/>
        <w:jc w:val="center"/>
        <w:rPr>
          <w:rStyle w:val="lev"/>
          <w:b/>
          <w:bCs/>
          <w:color w:val="000000" w:themeColor="text1"/>
          <w:sz w:val="40"/>
          <w:szCs w:val="40"/>
          <w:u w:val="single"/>
        </w:rPr>
      </w:pPr>
    </w:p>
    <w:p w:rsidR="00CB60CB" w:rsidRPr="00CB60CB" w:rsidRDefault="00B365A3" w:rsidP="00CB60CB">
      <w:pPr>
        <w:pStyle w:val="Titre2"/>
        <w:jc w:val="center"/>
        <w:rPr>
          <w:color w:val="000000" w:themeColor="text1"/>
          <w:sz w:val="40"/>
          <w:szCs w:val="40"/>
          <w:u w:val="single"/>
        </w:rPr>
      </w:pPr>
      <w:r w:rsidRPr="00FE0110">
        <w:rPr>
          <w:rStyle w:val="lev"/>
          <w:rFonts w:ascii="Times New Roman" w:hAnsi="Times New Roman" w:cs="Times New Roman"/>
          <w:b/>
          <w:bCs/>
          <w:color w:val="000000" w:themeColor="text1"/>
          <w:sz w:val="40"/>
          <w:szCs w:val="40"/>
          <w:u w:val="single"/>
        </w:rPr>
        <w:t>Thème</w:t>
      </w:r>
      <w:r w:rsidRPr="00CB60CB">
        <w:rPr>
          <w:rStyle w:val="lev"/>
          <w:b/>
          <w:bCs/>
          <w:color w:val="000000" w:themeColor="text1"/>
          <w:sz w:val="40"/>
          <w:szCs w:val="40"/>
          <w:u w:val="single"/>
        </w:rPr>
        <w:t xml:space="preserve"> 4. Le financement de l’effort de guerre</w:t>
      </w:r>
    </w:p>
    <w:p w:rsidR="00B365A3" w:rsidRDefault="00B365A3" w:rsidP="00B365A3">
      <w:pPr>
        <w:pStyle w:val="NormalWeb"/>
        <w:jc w:val="center"/>
      </w:pPr>
      <w:r>
        <w:rPr>
          <w:rStyle w:val="lev"/>
        </w:rPr>
        <w:t>Image n°7. « C</w:t>
      </w:r>
      <w:bookmarkStart w:id="0" w:name="_GoBack"/>
      <w:bookmarkEnd w:id="0"/>
      <w:r>
        <w:rPr>
          <w:rStyle w:val="lev"/>
        </w:rPr>
        <w:t>omité départemental de la Haute-Vienne de l’or, des bons et des emprunts de la Défense nationale ».</w:t>
      </w:r>
    </w:p>
    <w:p w:rsidR="00B365A3" w:rsidRDefault="00B365A3" w:rsidP="00B365A3">
      <w:pPr>
        <w:pStyle w:val="NormalWeb"/>
        <w:jc w:val="center"/>
      </w:pPr>
      <w:r>
        <w:rPr>
          <w:noProof/>
          <w:color w:val="0000FF"/>
        </w:rPr>
        <w:drawing>
          <wp:inline distT="0" distB="0" distL="0" distR="0">
            <wp:extent cx="6300000" cy="4306349"/>
            <wp:effectExtent l="0" t="0" r="5715" b="0"/>
            <wp:docPr id="1" name="Image 1" descr="7_Guerre_de_14_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_Guerre_de_14_1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000" cy="4306349"/>
                    </a:xfrm>
                    <a:prstGeom prst="rect">
                      <a:avLst/>
                    </a:prstGeom>
                    <a:noFill/>
                    <a:ln>
                      <a:noFill/>
                    </a:ln>
                  </pic:spPr>
                </pic:pic>
              </a:graphicData>
            </a:graphic>
          </wp:inline>
        </w:drawing>
      </w:r>
    </w:p>
    <w:p w:rsidR="00FE0110" w:rsidRPr="00FE0110" w:rsidRDefault="00FE0110" w:rsidP="00FE0110">
      <w:pPr>
        <w:pStyle w:val="Style22"/>
        <w:widowControl/>
        <w:spacing w:before="235" w:line="240" w:lineRule="exact"/>
        <w:ind w:left="600"/>
        <w:rPr>
          <w:rStyle w:val="FontStyle49"/>
          <w:sz w:val="24"/>
          <w:szCs w:val="24"/>
        </w:rPr>
      </w:pPr>
      <w:r w:rsidRPr="00FE0110">
        <w:rPr>
          <w:rStyle w:val="FontStyle49"/>
          <w:sz w:val="24"/>
          <w:szCs w:val="24"/>
        </w:rPr>
        <w:t xml:space="preserve">Affiche 45 </w:t>
      </w:r>
      <w:r w:rsidRPr="00FE0110">
        <w:rPr>
          <w:rStyle w:val="FontStyle47"/>
          <w:sz w:val="24"/>
          <w:szCs w:val="24"/>
        </w:rPr>
        <w:t xml:space="preserve">x </w:t>
      </w:r>
      <w:r w:rsidRPr="00FE0110">
        <w:rPr>
          <w:rStyle w:val="FontStyle49"/>
          <w:sz w:val="24"/>
          <w:szCs w:val="24"/>
        </w:rPr>
        <w:t xml:space="preserve">30 cm, suppl. au </w:t>
      </w:r>
      <w:r w:rsidRPr="00FE0110">
        <w:rPr>
          <w:rStyle w:val="FontStyle47"/>
          <w:sz w:val="24"/>
          <w:szCs w:val="24"/>
        </w:rPr>
        <w:t xml:space="preserve">Réveil du Centre du </w:t>
      </w:r>
      <w:r w:rsidRPr="00FE0110">
        <w:rPr>
          <w:rStyle w:val="FontStyle49"/>
          <w:sz w:val="24"/>
          <w:szCs w:val="24"/>
        </w:rPr>
        <w:t>18 septembre 1916. - ADHV, R 393.</w:t>
      </w:r>
    </w:p>
    <w:p w:rsidR="00CB60CB" w:rsidRPr="00FE0110" w:rsidRDefault="00CB60CB">
      <w:pPr>
        <w:rPr>
          <w:rFonts w:ascii="Times New Roman" w:eastAsia="Times New Roman" w:hAnsi="Times New Roman" w:cs="Times New Roman"/>
          <w:sz w:val="24"/>
          <w:szCs w:val="24"/>
          <w:lang w:eastAsia="fr-FR"/>
        </w:rPr>
      </w:pPr>
      <w:r w:rsidRPr="00FE0110">
        <w:rPr>
          <w:sz w:val="24"/>
          <w:szCs w:val="24"/>
        </w:rPr>
        <w:br w:type="page"/>
      </w:r>
    </w:p>
    <w:p w:rsidR="00CB60CB" w:rsidRPr="00FE0110" w:rsidRDefault="00CB60CB" w:rsidP="00CB60CB">
      <w:pPr>
        <w:jc w:val="center"/>
        <w:rPr>
          <w:rFonts w:ascii="Times New Roman" w:hAnsi="Times New Roman" w:cs="Times New Roman"/>
          <w:b/>
          <w:sz w:val="40"/>
          <w:szCs w:val="40"/>
          <w:u w:val="single"/>
        </w:rPr>
      </w:pPr>
      <w:r w:rsidRPr="00FE0110">
        <w:rPr>
          <w:rFonts w:ascii="Times New Roman" w:hAnsi="Times New Roman" w:cs="Times New Roman"/>
          <w:b/>
          <w:sz w:val="40"/>
          <w:szCs w:val="40"/>
          <w:u w:val="single"/>
        </w:rPr>
        <w:lastRenderedPageBreak/>
        <w:t>Thème 4. Le financement de l’effort de guerre</w:t>
      </w:r>
    </w:p>
    <w:p w:rsidR="00CB60CB" w:rsidRPr="002D4463" w:rsidRDefault="00CB60CB" w:rsidP="00CB60CB">
      <w:pPr>
        <w:rPr>
          <w:rFonts w:ascii="Times New Roman" w:hAnsi="Times New Roman" w:cs="Times New Roman"/>
          <w:b/>
          <w:sz w:val="24"/>
          <w:szCs w:val="24"/>
        </w:rPr>
      </w:pPr>
      <w:r w:rsidRPr="002D4463">
        <w:rPr>
          <w:rFonts w:ascii="Times New Roman" w:hAnsi="Times New Roman" w:cs="Times New Roman"/>
          <w:b/>
          <w:sz w:val="24"/>
          <w:szCs w:val="24"/>
        </w:rPr>
        <w:t>Image n°7. « Comité départemental de la Haute-Vienne de l’or, des bons et des emprunts de la Défense nationale ».</w:t>
      </w:r>
    </w:p>
    <w:p w:rsidR="00CB60CB" w:rsidRPr="002D4463" w:rsidRDefault="00CB60CB" w:rsidP="00CB60CB">
      <w:pPr>
        <w:rPr>
          <w:rFonts w:ascii="Times New Roman" w:hAnsi="Times New Roman" w:cs="Times New Roman"/>
          <w:sz w:val="24"/>
          <w:szCs w:val="24"/>
        </w:rPr>
      </w:pPr>
      <w:r w:rsidRPr="002D4463">
        <w:rPr>
          <w:rFonts w:ascii="Times New Roman" w:hAnsi="Times New Roman" w:cs="Times New Roman"/>
          <w:sz w:val="24"/>
          <w:szCs w:val="24"/>
        </w:rPr>
        <w:t xml:space="preserve">L’appel au bas de laine des particuliers est un moyen pour l'Etat de financer les dépenses de guerre. L’opération est présentée comme une bonne affaire, conseillée et garantie par les plus hautes autorités. L’Etat draine l'or en circulation et celui qui est </w:t>
      </w:r>
      <w:r w:rsidRPr="002D4463">
        <w:rPr>
          <w:rFonts w:ascii="Times New Roman" w:hAnsi="Times New Roman" w:cs="Times New Roman"/>
          <w:b/>
          <w:sz w:val="24"/>
          <w:szCs w:val="24"/>
        </w:rPr>
        <w:t>thésaurisé</w:t>
      </w:r>
      <w:r w:rsidRPr="002D4463">
        <w:rPr>
          <w:rFonts w:ascii="Times New Roman" w:hAnsi="Times New Roman" w:cs="Times New Roman"/>
          <w:sz w:val="24"/>
          <w:szCs w:val="24"/>
        </w:rPr>
        <w:t xml:space="preserve">, pour tenter de maintenir la </w:t>
      </w:r>
      <w:r w:rsidRPr="002D4463">
        <w:rPr>
          <w:rFonts w:ascii="Times New Roman" w:hAnsi="Times New Roman" w:cs="Times New Roman"/>
          <w:b/>
          <w:sz w:val="24"/>
          <w:szCs w:val="24"/>
        </w:rPr>
        <w:t>couverture-or</w:t>
      </w:r>
      <w:r w:rsidRPr="002D4463">
        <w:rPr>
          <w:rFonts w:ascii="Times New Roman" w:hAnsi="Times New Roman" w:cs="Times New Roman"/>
          <w:sz w:val="24"/>
          <w:szCs w:val="24"/>
        </w:rPr>
        <w:t xml:space="preserve"> des billets de banque, et payer les </w:t>
      </w:r>
      <w:r w:rsidRPr="002D4463">
        <w:rPr>
          <w:rFonts w:ascii="Times New Roman" w:hAnsi="Times New Roman" w:cs="Times New Roman"/>
          <w:b/>
          <w:sz w:val="24"/>
          <w:szCs w:val="24"/>
        </w:rPr>
        <w:t>importations</w:t>
      </w:r>
      <w:r w:rsidRPr="002D4463">
        <w:rPr>
          <w:rFonts w:ascii="Times New Roman" w:hAnsi="Times New Roman" w:cs="Times New Roman"/>
          <w:sz w:val="24"/>
          <w:szCs w:val="24"/>
        </w:rPr>
        <w:t xml:space="preserve"> exceptionnelles. Cependant, l'Etat fera émettre par la </w:t>
      </w:r>
      <w:r w:rsidRPr="002D4463">
        <w:rPr>
          <w:rFonts w:ascii="Times New Roman" w:hAnsi="Times New Roman" w:cs="Times New Roman"/>
          <w:b/>
          <w:sz w:val="24"/>
          <w:szCs w:val="24"/>
        </w:rPr>
        <w:t>Banque de France</w:t>
      </w:r>
      <w:r w:rsidRPr="002D4463">
        <w:rPr>
          <w:rFonts w:ascii="Times New Roman" w:hAnsi="Times New Roman" w:cs="Times New Roman"/>
          <w:sz w:val="24"/>
          <w:szCs w:val="24"/>
        </w:rPr>
        <w:t xml:space="preserve"> beaucoup trop de billets et la couverture-or baissera de 69,4 % en 1914 à 21,5% en 1918. </w:t>
      </w:r>
    </w:p>
    <w:p w:rsidR="00CB60CB" w:rsidRPr="002D4463" w:rsidRDefault="00CB60CB" w:rsidP="00CB60CB">
      <w:pPr>
        <w:rPr>
          <w:rFonts w:ascii="Times New Roman" w:hAnsi="Times New Roman" w:cs="Times New Roman"/>
          <w:sz w:val="24"/>
          <w:szCs w:val="24"/>
        </w:rPr>
      </w:pPr>
      <w:r w:rsidRPr="002D4463">
        <w:rPr>
          <w:rFonts w:ascii="Times New Roman" w:hAnsi="Times New Roman" w:cs="Times New Roman"/>
          <w:sz w:val="24"/>
          <w:szCs w:val="24"/>
        </w:rPr>
        <w:t xml:space="preserve">En contrepartie de cet or, l'Etat émet  soit des Bons de la Défense nationale, sortes de </w:t>
      </w:r>
      <w:r w:rsidRPr="002D4463">
        <w:rPr>
          <w:rFonts w:ascii="Times New Roman" w:hAnsi="Times New Roman" w:cs="Times New Roman"/>
          <w:b/>
          <w:sz w:val="24"/>
          <w:szCs w:val="24"/>
        </w:rPr>
        <w:t>bons du Trésor</w:t>
      </w:r>
      <w:r w:rsidRPr="002D4463">
        <w:rPr>
          <w:rFonts w:ascii="Times New Roman" w:hAnsi="Times New Roman" w:cs="Times New Roman"/>
          <w:sz w:val="24"/>
          <w:szCs w:val="24"/>
        </w:rPr>
        <w:t xml:space="preserve"> à court terme ; soit des </w:t>
      </w:r>
      <w:r w:rsidRPr="002D4463">
        <w:rPr>
          <w:rFonts w:ascii="Times New Roman" w:hAnsi="Times New Roman" w:cs="Times New Roman"/>
          <w:b/>
          <w:sz w:val="24"/>
          <w:szCs w:val="24"/>
        </w:rPr>
        <w:t>emprunts</w:t>
      </w:r>
      <w:r w:rsidRPr="002D4463">
        <w:rPr>
          <w:rFonts w:ascii="Times New Roman" w:hAnsi="Times New Roman" w:cs="Times New Roman"/>
          <w:sz w:val="24"/>
          <w:szCs w:val="24"/>
        </w:rPr>
        <w:t xml:space="preserve"> à long terme.</w:t>
      </w:r>
    </w:p>
    <w:p w:rsidR="00B365A3" w:rsidRDefault="00B365A3" w:rsidP="00B365A3">
      <w:pPr>
        <w:pStyle w:val="NormalWeb"/>
      </w:pPr>
      <w:r>
        <w:t>□ Notions : étalon-or, importations, thésaurisation, dépenses de l’État, Banque de France, billets et couverture-or, dette de l’État (bons et emprunts), patriotisme.</w:t>
      </w:r>
    </w:p>
    <w:p w:rsidR="00CB60CB" w:rsidRDefault="00CB60CB" w:rsidP="00B365A3">
      <w:pPr>
        <w:pStyle w:val="NormalWeb"/>
      </w:pPr>
    </w:p>
    <w:p w:rsidR="00CB60CB" w:rsidRDefault="00CB60CB" w:rsidP="00CB60CB">
      <w:pPr>
        <w:pStyle w:val="NormalWeb"/>
        <w:jc w:val="center"/>
      </w:pPr>
      <w:r>
        <w:t>● Références bibliographiques et sitographiques</w:t>
      </w:r>
    </w:p>
    <w:p w:rsidR="00CB60CB" w:rsidRDefault="00CB60CB" w:rsidP="00CB60CB">
      <w:pPr>
        <w:pStyle w:val="NormalWeb"/>
        <w:jc w:val="center"/>
      </w:pPr>
    </w:p>
    <w:p w:rsidR="00B365A3" w:rsidRDefault="00B365A3" w:rsidP="00B365A3">
      <w:pPr>
        <w:pStyle w:val="NormalWeb"/>
      </w:pPr>
      <w:r>
        <w:t>● Site de la cité de l'économie et de la monnaie : une frise chronologique « 10000 ans d'économie » (dates clés : 1914-1918 Première guerre mondiale : aspects économiques, 1914-1920 Les « billets de nécessité » pendant la première guerre mondiale en France, 1917 Révolution russe)</w:t>
      </w:r>
    </w:p>
    <w:p w:rsidR="00B365A3" w:rsidRDefault="008560E9" w:rsidP="00B365A3">
      <w:pPr>
        <w:pStyle w:val="NormalWeb"/>
      </w:pPr>
      <w:hyperlink r:id="rId7" w:history="1">
        <w:r w:rsidR="00B365A3">
          <w:rPr>
            <w:rStyle w:val="Lienhypertexte"/>
            <w:rFonts w:eastAsiaTheme="majorEastAsia"/>
          </w:rPr>
          <w:t>http://www.citedeleconomie.fr</w:t>
        </w:r>
      </w:hyperlink>
    </w:p>
    <w:p w:rsidR="00B365A3" w:rsidRDefault="00B365A3" w:rsidP="00B365A3">
      <w:pPr>
        <w:pStyle w:val="NormalWeb"/>
      </w:pPr>
      <w:r>
        <w:t>● Site « l'Histoire par l'image ». L’Histoire par l’image explore l’Histoire de France à travers les collections des musées et les documents d'archives. Ce site s’adresse aux enseignants et à leurs élèves mais aussi aux curieux et à l'amateur d'art et d'histoire.</w:t>
      </w:r>
      <w:r>
        <w:br/>
        <w:t>Dans la recherche par l'index au mot-clé « Guerre de 14-18 » on trouve 100 réponses ...</w:t>
      </w:r>
    </w:p>
    <w:p w:rsidR="00B365A3" w:rsidRDefault="00B365A3" w:rsidP="00B365A3">
      <w:pPr>
        <w:pStyle w:val="NormalWeb"/>
      </w:pPr>
      <w:r>
        <w:t>Deux exemples concernant le financement de la guerre : « Les emprunts nationaux de 1916 et 1917 » ; « Les emprunts nationaux pendant la guerre de 1914-1918 ».</w:t>
      </w:r>
    </w:p>
    <w:p w:rsidR="00B365A3" w:rsidRDefault="008560E9" w:rsidP="00B365A3">
      <w:pPr>
        <w:pStyle w:val="NormalWeb"/>
      </w:pPr>
      <w:hyperlink r:id="rId8" w:history="1">
        <w:r w:rsidR="00B365A3">
          <w:rPr>
            <w:rStyle w:val="Lienhypertexte"/>
            <w:rFonts w:eastAsiaTheme="majorEastAsia"/>
          </w:rPr>
          <w:t>http://www.histoire-image.org</w:t>
        </w:r>
      </w:hyperlink>
    </w:p>
    <w:p w:rsidR="00150995" w:rsidRDefault="00B365A3" w:rsidP="00B365A3">
      <w:pPr>
        <w:pStyle w:val="NormalWeb"/>
      </w:pPr>
      <w:r>
        <w:t>● Revue : 1914-1918 Auvergne Limousin, hors-série du Populaire du Centre et de la Montagne, 162 pages, novembre 2013.</w:t>
      </w:r>
      <w:r>
        <w:br/>
        <w:t>Article : La monnaie de nécessité entre en circulation, page 41. Dès 1914, pour pallier le manque de billets en circulation, les Chambres de commerce se sont mises à battre monnaie.</w:t>
      </w:r>
    </w:p>
    <w:p w:rsidR="00CB60CB" w:rsidRDefault="00CB60CB" w:rsidP="00B365A3">
      <w:pPr>
        <w:pStyle w:val="NormalWeb"/>
      </w:pPr>
      <w:r>
        <w:t>***************************************************************************************</w:t>
      </w:r>
    </w:p>
    <w:sectPr w:rsidR="00CB60CB" w:rsidSect="00B365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A3"/>
    <w:rsid w:val="00150995"/>
    <w:rsid w:val="001E1087"/>
    <w:rsid w:val="00B365A3"/>
    <w:rsid w:val="00CB60CB"/>
    <w:rsid w:val="00FE01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36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B36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65A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B365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365A3"/>
    <w:rPr>
      <w:b/>
      <w:bCs/>
    </w:rPr>
  </w:style>
  <w:style w:type="character" w:customStyle="1" w:styleId="Titre2Car">
    <w:name w:val="Titre 2 Car"/>
    <w:basedOn w:val="Policepardfaut"/>
    <w:link w:val="Titre2"/>
    <w:uiPriority w:val="9"/>
    <w:rsid w:val="00B365A3"/>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B365A3"/>
    <w:rPr>
      <w:color w:val="0000FF"/>
      <w:u w:val="single"/>
    </w:rPr>
  </w:style>
  <w:style w:type="paragraph" w:styleId="Textedebulles">
    <w:name w:val="Balloon Text"/>
    <w:basedOn w:val="Normal"/>
    <w:link w:val="TextedebullesCar"/>
    <w:uiPriority w:val="99"/>
    <w:semiHidden/>
    <w:unhideWhenUsed/>
    <w:rsid w:val="00B365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5A3"/>
    <w:rPr>
      <w:rFonts w:ascii="Tahoma" w:hAnsi="Tahoma" w:cs="Tahoma"/>
      <w:sz w:val="16"/>
      <w:szCs w:val="16"/>
    </w:rPr>
  </w:style>
  <w:style w:type="paragraph" w:customStyle="1" w:styleId="Style22">
    <w:name w:val="Style22"/>
    <w:basedOn w:val="Normal"/>
    <w:rsid w:val="00FE0110"/>
    <w:pPr>
      <w:widowControl w:val="0"/>
      <w:autoSpaceDE w:val="0"/>
      <w:autoSpaceDN w:val="0"/>
      <w:adjustRightInd w:val="0"/>
      <w:spacing w:after="0" w:line="235" w:lineRule="exact"/>
      <w:jc w:val="both"/>
    </w:pPr>
    <w:rPr>
      <w:rFonts w:ascii="Arial" w:eastAsia="Times New Roman" w:hAnsi="Arial" w:cs="Times New Roman"/>
      <w:sz w:val="24"/>
      <w:szCs w:val="24"/>
      <w:lang w:eastAsia="fr-FR"/>
    </w:rPr>
  </w:style>
  <w:style w:type="character" w:customStyle="1" w:styleId="FontStyle47">
    <w:name w:val="Font Style47"/>
    <w:basedOn w:val="Policepardfaut"/>
    <w:rsid w:val="00FE0110"/>
    <w:rPr>
      <w:rFonts w:ascii="Times New Roman" w:hAnsi="Times New Roman" w:cs="Times New Roman"/>
      <w:sz w:val="20"/>
      <w:szCs w:val="20"/>
    </w:rPr>
  </w:style>
  <w:style w:type="character" w:customStyle="1" w:styleId="FontStyle49">
    <w:name w:val="Font Style49"/>
    <w:basedOn w:val="Policepardfaut"/>
    <w:rsid w:val="00FE0110"/>
    <w:rPr>
      <w:rFonts w:ascii="Times New Roman" w:hAnsi="Times New Roman" w:cs="Times New Roman"/>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36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B36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65A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B365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365A3"/>
    <w:rPr>
      <w:b/>
      <w:bCs/>
    </w:rPr>
  </w:style>
  <w:style w:type="character" w:customStyle="1" w:styleId="Titre2Car">
    <w:name w:val="Titre 2 Car"/>
    <w:basedOn w:val="Policepardfaut"/>
    <w:link w:val="Titre2"/>
    <w:uiPriority w:val="9"/>
    <w:rsid w:val="00B365A3"/>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B365A3"/>
    <w:rPr>
      <w:color w:val="0000FF"/>
      <w:u w:val="single"/>
    </w:rPr>
  </w:style>
  <w:style w:type="paragraph" w:styleId="Textedebulles">
    <w:name w:val="Balloon Text"/>
    <w:basedOn w:val="Normal"/>
    <w:link w:val="TextedebullesCar"/>
    <w:uiPriority w:val="99"/>
    <w:semiHidden/>
    <w:unhideWhenUsed/>
    <w:rsid w:val="00B365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5A3"/>
    <w:rPr>
      <w:rFonts w:ascii="Tahoma" w:hAnsi="Tahoma" w:cs="Tahoma"/>
      <w:sz w:val="16"/>
      <w:szCs w:val="16"/>
    </w:rPr>
  </w:style>
  <w:style w:type="paragraph" w:customStyle="1" w:styleId="Style22">
    <w:name w:val="Style22"/>
    <w:basedOn w:val="Normal"/>
    <w:rsid w:val="00FE0110"/>
    <w:pPr>
      <w:widowControl w:val="0"/>
      <w:autoSpaceDE w:val="0"/>
      <w:autoSpaceDN w:val="0"/>
      <w:adjustRightInd w:val="0"/>
      <w:spacing w:after="0" w:line="235" w:lineRule="exact"/>
      <w:jc w:val="both"/>
    </w:pPr>
    <w:rPr>
      <w:rFonts w:ascii="Arial" w:eastAsia="Times New Roman" w:hAnsi="Arial" w:cs="Times New Roman"/>
      <w:sz w:val="24"/>
      <w:szCs w:val="24"/>
      <w:lang w:eastAsia="fr-FR"/>
    </w:rPr>
  </w:style>
  <w:style w:type="character" w:customStyle="1" w:styleId="FontStyle47">
    <w:name w:val="Font Style47"/>
    <w:basedOn w:val="Policepardfaut"/>
    <w:rsid w:val="00FE0110"/>
    <w:rPr>
      <w:rFonts w:ascii="Times New Roman" w:hAnsi="Times New Roman" w:cs="Times New Roman"/>
      <w:sz w:val="20"/>
      <w:szCs w:val="20"/>
    </w:rPr>
  </w:style>
  <w:style w:type="character" w:customStyle="1" w:styleId="FontStyle49">
    <w:name w:val="Font Style49"/>
    <w:basedOn w:val="Policepardfaut"/>
    <w:rsid w:val="00FE0110"/>
    <w:rPr>
      <w:rFonts w:ascii="Times New Roman" w:hAnsi="Times New Roman" w:cs="Times New Roman"/>
      <w:i/>
      <w:i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85768">
      <w:bodyDiv w:val="1"/>
      <w:marLeft w:val="0"/>
      <w:marRight w:val="0"/>
      <w:marTop w:val="0"/>
      <w:marBottom w:val="0"/>
      <w:divBdr>
        <w:top w:val="none" w:sz="0" w:space="0" w:color="auto"/>
        <w:left w:val="none" w:sz="0" w:space="0" w:color="auto"/>
        <w:bottom w:val="none" w:sz="0" w:space="0" w:color="auto"/>
        <w:right w:val="none" w:sz="0" w:space="0" w:color="auto"/>
      </w:divBdr>
    </w:div>
    <w:div w:id="19478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ire-image.org" TargetMode="External"/><Relationship Id="rId3" Type="http://schemas.openxmlformats.org/officeDocument/2006/relationships/settings" Target="settings.xml"/><Relationship Id="rId7" Type="http://schemas.openxmlformats.org/officeDocument/2006/relationships/hyperlink" Target="http://www.citedeleconomie.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rdpdev.cndp.lan/crdp-limoges/14-18/wp-content/uploads/2014/05/7_Guerre_de_14_18.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CRDP du Limousin</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Fessemaz</dc:creator>
  <cp:lastModifiedBy>Luc Fessemaz</cp:lastModifiedBy>
  <cp:revision>6</cp:revision>
  <dcterms:created xsi:type="dcterms:W3CDTF">2014-10-27T09:38:00Z</dcterms:created>
  <dcterms:modified xsi:type="dcterms:W3CDTF">2015-02-10T15:03:00Z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