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35" w:rsidRPr="000B7A35" w:rsidRDefault="000B7A35" w:rsidP="000B7A35">
      <w:pPr>
        <w:spacing w:before="100" w:beforeAutospacing="1" w:after="100" w:afterAutospacing="1" w:line="240" w:lineRule="auto"/>
        <w:rPr>
          <w:rFonts w:ascii="Times New Roman" w:eastAsia="Times New Roman" w:hAnsi="Times New Roman" w:cs="Times New Roman"/>
          <w:sz w:val="24"/>
          <w:szCs w:val="24"/>
          <w:lang w:eastAsia="fr-FR"/>
        </w:rPr>
      </w:pPr>
      <w:r w:rsidRPr="000B7A35">
        <w:rPr>
          <w:rFonts w:ascii="Times New Roman" w:eastAsia="Times New Roman" w:hAnsi="Times New Roman" w:cs="Times New Roman"/>
          <w:sz w:val="24"/>
          <w:szCs w:val="24"/>
          <w:u w:val="single"/>
          <w:lang w:eastAsia="fr-FR"/>
        </w:rPr>
        <w:t>Références de l'ouvrage</w:t>
      </w:r>
    </w:p>
    <w:p w:rsidR="000B7A35" w:rsidRPr="000B7A35" w:rsidRDefault="000B7A35" w:rsidP="000B7A3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B7A35">
        <w:rPr>
          <w:rFonts w:ascii="Times New Roman" w:eastAsia="Times New Roman" w:hAnsi="Times New Roman" w:cs="Times New Roman"/>
          <w:b/>
          <w:bCs/>
          <w:kern w:val="36"/>
          <w:sz w:val="48"/>
          <w:szCs w:val="48"/>
          <w:lang w:eastAsia="fr-FR"/>
        </w:rPr>
        <w:t>Les Limousins pendant la guerre de 1914-1918</w:t>
      </w:r>
    </w:p>
    <w:p w:rsidR="000B7A35" w:rsidRPr="000B7A35" w:rsidRDefault="000B7A35" w:rsidP="000B7A35">
      <w:pPr>
        <w:spacing w:before="100" w:beforeAutospacing="1" w:after="100" w:afterAutospacing="1" w:line="240" w:lineRule="auto"/>
        <w:rPr>
          <w:rFonts w:ascii="Times New Roman" w:eastAsia="Times New Roman" w:hAnsi="Times New Roman" w:cs="Times New Roman"/>
          <w:sz w:val="24"/>
          <w:szCs w:val="24"/>
          <w:lang w:eastAsia="fr-FR"/>
        </w:rPr>
      </w:pPr>
      <w:r w:rsidRPr="000B7A35">
        <w:rPr>
          <w:rFonts w:ascii="Times New Roman" w:eastAsia="Times New Roman" w:hAnsi="Times New Roman" w:cs="Times New Roman"/>
          <w:sz w:val="24"/>
          <w:szCs w:val="24"/>
          <w:lang w:eastAsia="fr-FR"/>
        </w:rPr>
        <w:t xml:space="preserve">Par Gabriel de </w:t>
      </w:r>
      <w:proofErr w:type="spellStart"/>
      <w:r w:rsidRPr="000B7A35">
        <w:rPr>
          <w:rFonts w:ascii="Times New Roman" w:eastAsia="Times New Roman" w:hAnsi="Times New Roman" w:cs="Times New Roman"/>
          <w:sz w:val="24"/>
          <w:szCs w:val="24"/>
          <w:lang w:eastAsia="fr-FR"/>
        </w:rPr>
        <w:t>Llobet</w:t>
      </w:r>
      <w:proofErr w:type="spellEnd"/>
      <w:r w:rsidRPr="000B7A35">
        <w:rPr>
          <w:rFonts w:ascii="Times New Roman" w:eastAsia="Times New Roman" w:hAnsi="Times New Roman" w:cs="Times New Roman"/>
          <w:sz w:val="24"/>
          <w:szCs w:val="24"/>
          <w:lang w:eastAsia="fr-FR"/>
        </w:rPr>
        <w:t>. Professeur chargé du Service Éducatif des Archives Départementales de la Haute-Vienne. 2e édition CRDP 1988.</w:t>
      </w:r>
    </w:p>
    <w:p w:rsidR="000B7A35" w:rsidRDefault="000B7A35" w:rsidP="000B7A35">
      <w:pPr>
        <w:pStyle w:val="NormalWeb"/>
      </w:pPr>
      <w:r>
        <w:t>***************************************************************************************</w:t>
      </w:r>
    </w:p>
    <w:p w:rsidR="000B7A35" w:rsidRPr="009457C4" w:rsidRDefault="000B7A35" w:rsidP="000B7A35">
      <w:pPr>
        <w:pStyle w:val="Titre2"/>
        <w:jc w:val="center"/>
        <w:rPr>
          <w:rFonts w:ascii="Times New Roman" w:hAnsi="Times New Roman" w:cs="Times New Roman"/>
          <w:color w:val="000000" w:themeColor="text1"/>
          <w:sz w:val="32"/>
          <w:szCs w:val="32"/>
        </w:rPr>
      </w:pPr>
      <w:bookmarkStart w:id="0" w:name="_GoBack"/>
      <w:r w:rsidRPr="009457C4">
        <w:rPr>
          <w:rStyle w:val="lev"/>
          <w:rFonts w:ascii="Times New Roman" w:hAnsi="Times New Roman" w:cs="Times New Roman"/>
          <w:b/>
          <w:bCs/>
          <w:color w:val="000000" w:themeColor="text1"/>
          <w:sz w:val="32"/>
          <w:szCs w:val="32"/>
          <w:u w:val="single"/>
        </w:rPr>
        <w:t>Thème 5. Les effets économiques du conflit sur la population civile</w:t>
      </w:r>
    </w:p>
    <w:bookmarkEnd w:id="0"/>
    <w:p w:rsidR="000B7A35" w:rsidRDefault="000B7A35" w:rsidP="000B7A35">
      <w:pPr>
        <w:pStyle w:val="NormalWeb"/>
        <w:jc w:val="center"/>
      </w:pPr>
      <w:r>
        <w:rPr>
          <w:rStyle w:val="lev"/>
        </w:rPr>
        <w:t>Image n°8. « Le triumvirat limousin contre la vie chère. Limoges aura sa carte de sucre et ses bons de consommation ».</w:t>
      </w:r>
    </w:p>
    <w:p w:rsidR="000B7A35" w:rsidRDefault="000B7A35" w:rsidP="000B7A35">
      <w:pPr>
        <w:pStyle w:val="NormalWeb"/>
        <w:jc w:val="center"/>
      </w:pPr>
      <w:r>
        <w:rPr>
          <w:noProof/>
          <w:color w:val="0000FF"/>
        </w:rPr>
        <w:drawing>
          <wp:inline distT="0" distB="0" distL="0" distR="0">
            <wp:extent cx="6660000" cy="4552428"/>
            <wp:effectExtent l="0" t="0" r="7620" b="635"/>
            <wp:docPr id="1" name="Image 1" descr="8_Guerre_de_14_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_Guerre_de_14_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0000" cy="4552428"/>
                    </a:xfrm>
                    <a:prstGeom prst="rect">
                      <a:avLst/>
                    </a:prstGeom>
                    <a:noFill/>
                    <a:ln>
                      <a:noFill/>
                    </a:ln>
                  </pic:spPr>
                </pic:pic>
              </a:graphicData>
            </a:graphic>
          </wp:inline>
        </w:drawing>
      </w:r>
    </w:p>
    <w:p w:rsidR="009457C4" w:rsidRPr="009457C4" w:rsidRDefault="009457C4" w:rsidP="009457C4">
      <w:pPr>
        <w:jc w:val="center"/>
        <w:rPr>
          <w:rFonts w:ascii="Times New Roman" w:hAnsi="Times New Roman" w:cs="Times New Roman"/>
          <w:sz w:val="24"/>
          <w:szCs w:val="24"/>
        </w:rPr>
      </w:pPr>
      <w:r w:rsidRPr="009457C4">
        <w:rPr>
          <w:rStyle w:val="FontStyle49"/>
          <w:sz w:val="24"/>
          <w:szCs w:val="24"/>
        </w:rPr>
        <w:t>ADHV, R 308.</w:t>
      </w:r>
    </w:p>
    <w:p w:rsidR="009D21C7" w:rsidRPr="009D21C7" w:rsidRDefault="009D21C7" w:rsidP="009D21C7">
      <w:pPr>
        <w:rPr>
          <w:rFonts w:ascii="Times New Roman" w:eastAsia="Times New Roman" w:hAnsi="Times New Roman" w:cs="Times New Roman"/>
          <w:sz w:val="24"/>
          <w:szCs w:val="24"/>
          <w:lang w:eastAsia="fr-FR"/>
        </w:rPr>
      </w:pPr>
      <w:r w:rsidRPr="002D4463">
        <w:rPr>
          <w:rFonts w:ascii="Times New Roman" w:hAnsi="Times New Roman" w:cs="Times New Roman"/>
          <w:sz w:val="24"/>
          <w:szCs w:val="24"/>
        </w:rPr>
        <w:t xml:space="preserve">Le document se compose d’un article paru dans Le Petit Journal du 29 novembre 1916, accompagné de la reproduction d'un bon pour 200 grammes de sucre. L'économie de guerre contraint les autorités locales (maire, préfet, président de la chambre de commerce) à prendre des mesures </w:t>
      </w:r>
      <w:r w:rsidRPr="002D4463">
        <w:rPr>
          <w:rFonts w:ascii="Times New Roman" w:hAnsi="Times New Roman" w:cs="Times New Roman"/>
          <w:b/>
          <w:sz w:val="24"/>
          <w:szCs w:val="24"/>
        </w:rPr>
        <w:t>dirigistes</w:t>
      </w:r>
      <w:r w:rsidRPr="002D4463">
        <w:rPr>
          <w:rFonts w:ascii="Times New Roman" w:hAnsi="Times New Roman" w:cs="Times New Roman"/>
          <w:sz w:val="24"/>
          <w:szCs w:val="24"/>
        </w:rPr>
        <w:t xml:space="preserve"> pour protéger les plus démunis par la </w:t>
      </w:r>
      <w:r w:rsidRPr="002D4463">
        <w:rPr>
          <w:rFonts w:ascii="Times New Roman" w:hAnsi="Times New Roman" w:cs="Times New Roman"/>
          <w:b/>
          <w:sz w:val="24"/>
          <w:szCs w:val="24"/>
        </w:rPr>
        <w:t>taxation</w:t>
      </w:r>
      <w:r w:rsidRPr="002D4463">
        <w:rPr>
          <w:rFonts w:ascii="Times New Roman" w:hAnsi="Times New Roman" w:cs="Times New Roman"/>
          <w:sz w:val="24"/>
          <w:szCs w:val="24"/>
        </w:rPr>
        <w:t xml:space="preserve"> et le </w:t>
      </w:r>
      <w:r w:rsidRPr="002D4463">
        <w:rPr>
          <w:rFonts w:ascii="Times New Roman" w:hAnsi="Times New Roman" w:cs="Times New Roman"/>
          <w:b/>
          <w:sz w:val="24"/>
          <w:szCs w:val="24"/>
        </w:rPr>
        <w:t>rationnement</w:t>
      </w:r>
      <w:r w:rsidRPr="002D4463">
        <w:rPr>
          <w:rFonts w:ascii="Times New Roman" w:hAnsi="Times New Roman" w:cs="Times New Roman"/>
          <w:sz w:val="24"/>
          <w:szCs w:val="24"/>
        </w:rPr>
        <w:t xml:space="preserve">.  Le correspondant local du Petit Journal, quotidien parisien, cite Limoges en exemple. La capitale de la Haute-Vienne, de tradition et de direction </w:t>
      </w:r>
      <w:r w:rsidRPr="002D4463">
        <w:rPr>
          <w:rFonts w:ascii="Times New Roman" w:hAnsi="Times New Roman" w:cs="Times New Roman"/>
          <w:b/>
          <w:sz w:val="24"/>
          <w:szCs w:val="24"/>
        </w:rPr>
        <w:t>socialistes</w:t>
      </w:r>
      <w:r w:rsidRPr="002D4463">
        <w:rPr>
          <w:rFonts w:ascii="Times New Roman" w:hAnsi="Times New Roman" w:cs="Times New Roman"/>
          <w:sz w:val="24"/>
          <w:szCs w:val="24"/>
        </w:rPr>
        <w:t xml:space="preserve"> montre la voie en instituant une "carte de sucre qui ne verra le jour au plan national qu'au 1</w:t>
      </w:r>
      <w:r w:rsidRPr="002D4463">
        <w:rPr>
          <w:rFonts w:ascii="Times New Roman" w:hAnsi="Times New Roman" w:cs="Times New Roman"/>
          <w:sz w:val="24"/>
          <w:szCs w:val="24"/>
          <w:vertAlign w:val="superscript"/>
        </w:rPr>
        <w:t>er</w:t>
      </w:r>
      <w:r w:rsidRPr="002D4463">
        <w:rPr>
          <w:rFonts w:ascii="Times New Roman" w:hAnsi="Times New Roman" w:cs="Times New Roman"/>
          <w:sz w:val="24"/>
          <w:szCs w:val="24"/>
        </w:rPr>
        <w:t xml:space="preserve"> mars 1917. La </w:t>
      </w:r>
      <w:r w:rsidRPr="002D4463">
        <w:rPr>
          <w:rFonts w:ascii="Times New Roman" w:hAnsi="Times New Roman" w:cs="Times New Roman"/>
          <w:b/>
          <w:sz w:val="24"/>
          <w:szCs w:val="24"/>
        </w:rPr>
        <w:t>vie chère</w:t>
      </w:r>
      <w:r w:rsidRPr="002D4463">
        <w:rPr>
          <w:rFonts w:ascii="Times New Roman" w:hAnsi="Times New Roman" w:cs="Times New Roman"/>
          <w:sz w:val="24"/>
          <w:szCs w:val="24"/>
        </w:rPr>
        <w:t xml:space="preserve"> est due à l'action conjuguée des trop nombreux billets en circulation et de la </w:t>
      </w:r>
      <w:r w:rsidRPr="002D4463">
        <w:rPr>
          <w:rFonts w:ascii="Times New Roman" w:hAnsi="Times New Roman" w:cs="Times New Roman"/>
          <w:b/>
          <w:sz w:val="24"/>
          <w:szCs w:val="24"/>
        </w:rPr>
        <w:t>pénurie</w:t>
      </w:r>
      <w:r w:rsidRPr="002D4463">
        <w:rPr>
          <w:rFonts w:ascii="Times New Roman" w:hAnsi="Times New Roman" w:cs="Times New Roman"/>
          <w:sz w:val="24"/>
          <w:szCs w:val="24"/>
        </w:rPr>
        <w:t xml:space="preserve"> de certaines denrées comme le sucre, dont les trois-quarts provenaient avant la guerre du Nord et de l'Est qui sont envahis. </w:t>
      </w:r>
    </w:p>
    <w:p w:rsidR="00150995" w:rsidRDefault="009D21C7" w:rsidP="009D21C7">
      <w:pPr>
        <w:pStyle w:val="NormalWeb"/>
      </w:pPr>
      <w:r>
        <w:t>□ Notions : socialisme, inflation, taxation, rationnement, pénurie.</w:t>
      </w:r>
    </w:p>
    <w:sectPr w:rsidR="00150995" w:rsidSect="000B7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35"/>
    <w:rsid w:val="000B7A35"/>
    <w:rsid w:val="00150995"/>
    <w:rsid w:val="009457C4"/>
    <w:rsid w:val="009D21C7"/>
    <w:rsid w:val="00B26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B7A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B7A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A3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B7A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7A35"/>
    <w:rPr>
      <w:b/>
      <w:bCs/>
    </w:rPr>
  </w:style>
  <w:style w:type="character" w:customStyle="1" w:styleId="Titre2Car">
    <w:name w:val="Titre 2 Car"/>
    <w:basedOn w:val="Policepardfaut"/>
    <w:link w:val="Titre2"/>
    <w:uiPriority w:val="9"/>
    <w:semiHidden/>
    <w:rsid w:val="000B7A3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0B7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A35"/>
    <w:rPr>
      <w:rFonts w:ascii="Tahoma" w:hAnsi="Tahoma" w:cs="Tahoma"/>
      <w:sz w:val="16"/>
      <w:szCs w:val="16"/>
    </w:rPr>
  </w:style>
  <w:style w:type="character" w:customStyle="1" w:styleId="FontStyle49">
    <w:name w:val="Font Style49"/>
    <w:basedOn w:val="Policepardfaut"/>
    <w:rsid w:val="009457C4"/>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B7A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B7A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A3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B7A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7A35"/>
    <w:rPr>
      <w:b/>
      <w:bCs/>
    </w:rPr>
  </w:style>
  <w:style w:type="character" w:customStyle="1" w:styleId="Titre2Car">
    <w:name w:val="Titre 2 Car"/>
    <w:basedOn w:val="Policepardfaut"/>
    <w:link w:val="Titre2"/>
    <w:uiPriority w:val="9"/>
    <w:semiHidden/>
    <w:rsid w:val="000B7A3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0B7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7A35"/>
    <w:rPr>
      <w:rFonts w:ascii="Tahoma" w:hAnsi="Tahoma" w:cs="Tahoma"/>
      <w:sz w:val="16"/>
      <w:szCs w:val="16"/>
    </w:rPr>
  </w:style>
  <w:style w:type="character" w:customStyle="1" w:styleId="FontStyle49">
    <w:name w:val="Font Style49"/>
    <w:basedOn w:val="Policepardfaut"/>
    <w:rsid w:val="009457C4"/>
    <w:rPr>
      <w:rFonts w:ascii="Times New Roman" w:hAnsi="Times New Roman" w:cs="Times New Roma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3538">
      <w:bodyDiv w:val="1"/>
      <w:marLeft w:val="0"/>
      <w:marRight w:val="0"/>
      <w:marTop w:val="0"/>
      <w:marBottom w:val="0"/>
      <w:divBdr>
        <w:top w:val="none" w:sz="0" w:space="0" w:color="auto"/>
        <w:left w:val="none" w:sz="0" w:space="0" w:color="auto"/>
        <w:bottom w:val="none" w:sz="0" w:space="0" w:color="auto"/>
        <w:right w:val="none" w:sz="0" w:space="0" w:color="auto"/>
      </w:divBdr>
    </w:div>
    <w:div w:id="6657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rdpdev.cndp.lan/crdp-limoges/14-18/wp-content/uploads/2014/05/8_Guerre_de_14_18.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1193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CRDP du Limousin</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Fessemaz</dc:creator>
  <cp:lastModifiedBy>Luc Fessemaz</cp:lastModifiedBy>
  <cp:revision>6</cp:revision>
  <dcterms:created xsi:type="dcterms:W3CDTF">2014-10-27T09:38:00Z</dcterms:created>
  <dcterms:modified xsi:type="dcterms:W3CDTF">2015-02-10T15:05:00Z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